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040" w:firstLineChars="200"/>
        <w:rPr>
          <w:rFonts w:hint="eastAsia" w:ascii="微软雅黑" w:hAnsi="微软雅黑" w:eastAsia="微软雅黑" w:cs="微软雅黑"/>
          <w:sz w:val="52"/>
          <w:szCs w:val="52"/>
          <w:lang w:val="en-US" w:eastAsia="en-US"/>
        </w:rPr>
      </w:pPr>
    </w:p>
    <w:p>
      <w:pPr>
        <w:tabs>
          <w:tab w:val="left" w:pos="5856"/>
        </w:tabs>
        <w:jc w:val="left"/>
        <w:rPr>
          <w:rFonts w:hint="eastAsia" w:ascii="微软雅黑" w:hAnsi="微软雅黑" w:eastAsia="微软雅黑" w:cs="微软雅黑"/>
          <w:sz w:val="36"/>
          <w:szCs w:val="36"/>
          <w:lang w:val="en-US" w:eastAsia="zh-CN"/>
        </w:rPr>
      </w:pPr>
      <w:r>
        <w:rPr>
          <w:rFonts w:hint="eastAsia" w:ascii="微软雅黑" w:hAnsi="微软雅黑" w:eastAsia="微软雅黑" w:cs="微软雅黑"/>
          <w:sz w:val="36"/>
          <w:szCs w:val="36"/>
          <w:lang w:val="en-US" w:eastAsia="zh-CN"/>
        </w:rPr>
        <w:tab/>
      </w:r>
    </w:p>
    <w:p>
      <w:pPr>
        <w:jc w:val="center"/>
        <w:rPr>
          <w:rFonts w:hint="eastAsia" w:ascii="微软雅黑" w:hAnsi="微软雅黑" w:eastAsia="微软雅黑" w:cs="微软雅黑"/>
          <w:sz w:val="36"/>
          <w:szCs w:val="36"/>
          <w:lang w:val="en-US" w:eastAsia="en-US"/>
        </w:rPr>
      </w:pPr>
    </w:p>
    <w:p>
      <w:pPr>
        <w:jc w:val="center"/>
        <w:rPr>
          <w:rFonts w:hint="eastAsia" w:ascii="微软雅黑" w:hAnsi="微软雅黑" w:eastAsia="微软雅黑" w:cs="微软雅黑"/>
          <w:sz w:val="56"/>
          <w:szCs w:val="56"/>
          <w:lang w:val="en-US" w:eastAsia="en-US"/>
        </w:rPr>
      </w:pPr>
      <w:r>
        <w:rPr>
          <w:rFonts w:hint="eastAsia" w:ascii="微软雅黑" w:hAnsi="微软雅黑" w:eastAsia="微软雅黑" w:cs="微软雅黑"/>
          <w:sz w:val="56"/>
          <w:szCs w:val="56"/>
          <w:lang w:val="en-US" w:eastAsia="en-US"/>
        </w:rPr>
        <w:t>202</w:t>
      </w:r>
      <w:r>
        <w:rPr>
          <w:rFonts w:hint="eastAsia" w:ascii="微软雅黑" w:hAnsi="微软雅黑" w:eastAsia="微软雅黑" w:cs="微软雅黑"/>
          <w:sz w:val="56"/>
          <w:szCs w:val="56"/>
          <w:lang w:val="en-US" w:eastAsia="zh-CN"/>
        </w:rPr>
        <w:t>1</w:t>
      </w:r>
      <w:r>
        <w:rPr>
          <w:rFonts w:hint="eastAsia" w:ascii="微软雅黑" w:hAnsi="微软雅黑" w:eastAsia="微软雅黑" w:cs="微软雅黑"/>
          <w:sz w:val="56"/>
          <w:szCs w:val="56"/>
          <w:lang w:val="en-US" w:eastAsia="en-US"/>
        </w:rPr>
        <w:t>年卫生职称（初中级）考试</w:t>
      </w:r>
    </w:p>
    <w:p>
      <w:pPr>
        <w:jc w:val="center"/>
        <w:rPr>
          <w:rFonts w:hint="eastAsia" w:ascii="微软雅黑" w:hAnsi="微软雅黑" w:eastAsia="微软雅黑" w:cs="微软雅黑"/>
          <w:b/>
          <w:bCs/>
          <w:sz w:val="84"/>
          <w:szCs w:val="84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84"/>
          <w:szCs w:val="84"/>
          <w:lang w:val="en-US" w:eastAsia="zh-CN"/>
        </w:rPr>
        <w:t>《</w:t>
      </w:r>
      <w:r>
        <w:rPr>
          <w:rFonts w:hint="eastAsia" w:ascii="微软雅黑" w:hAnsi="微软雅黑" w:eastAsia="微软雅黑" w:cs="微软雅黑"/>
          <w:b/>
          <w:bCs/>
          <w:sz w:val="84"/>
          <w:szCs w:val="84"/>
        </w:rPr>
        <w:t>考场密押</w:t>
      </w:r>
      <w:r>
        <w:rPr>
          <w:rFonts w:hint="eastAsia" w:ascii="微软雅黑" w:hAnsi="微软雅黑" w:eastAsia="微软雅黑" w:cs="微软雅黑"/>
          <w:b/>
          <w:bCs/>
          <w:sz w:val="84"/>
          <w:szCs w:val="84"/>
          <w:lang w:val="en-US" w:eastAsia="zh-CN"/>
        </w:rPr>
        <w:t>50</w:t>
      </w:r>
      <w:r>
        <w:rPr>
          <w:rFonts w:hint="eastAsia" w:ascii="微软雅黑" w:hAnsi="微软雅黑" w:eastAsia="微软雅黑" w:cs="微软雅黑"/>
          <w:b/>
          <w:bCs/>
          <w:sz w:val="84"/>
          <w:szCs w:val="84"/>
        </w:rPr>
        <w:t>题</w:t>
      </w:r>
      <w:r>
        <w:rPr>
          <w:rFonts w:hint="eastAsia" w:ascii="微软雅黑" w:hAnsi="微软雅黑" w:eastAsia="微软雅黑" w:cs="微软雅黑"/>
          <w:b/>
          <w:bCs/>
          <w:sz w:val="84"/>
          <w:szCs w:val="84"/>
          <w:lang w:val="en-US" w:eastAsia="zh-CN"/>
        </w:rPr>
        <w:t>》</w:t>
      </w:r>
    </w:p>
    <w:p>
      <w:pPr>
        <w:rPr>
          <w:rFonts w:hint="eastAsia" w:ascii="微软雅黑" w:hAnsi="微软雅黑" w:eastAsia="微软雅黑" w:cs="微软雅黑"/>
        </w:rPr>
      </w:pPr>
    </w:p>
    <w:p>
      <w:pPr>
        <w:shd w:val="clear"/>
        <w:tabs>
          <w:tab w:val="left" w:pos="5091"/>
        </w:tabs>
        <w:bidi w:val="0"/>
        <w:jc w:val="center"/>
        <w:rPr>
          <w:rFonts w:hint="eastAsia" w:ascii="微软雅黑" w:hAnsi="微软雅黑" w:eastAsia="微软雅黑" w:cs="微软雅黑"/>
          <w:b w:val="0"/>
          <w:bCs w:val="0"/>
          <w:color w:val="808080" w:themeColor="text1" w:themeTint="80"/>
          <w:sz w:val="32"/>
          <w:szCs w:val="32"/>
          <w:u w:val="none"/>
          <w:shd w:val="clear" w:color="auto" w:fill="auto"/>
          <w:lang w:val="en-US"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808080" w:themeColor="text1" w:themeTint="80"/>
          <w:sz w:val="32"/>
          <w:szCs w:val="32"/>
          <w:u w:val="none"/>
          <w:shd w:val="clear" w:color="auto" w:fill="auto"/>
          <w:lang w:val="en-US"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&gt;&gt;</w:t>
      </w:r>
      <w:r>
        <w:rPr>
          <w:rFonts w:hint="eastAsia" w:ascii="微软雅黑" w:hAnsi="微软雅黑" w:eastAsia="微软雅黑" w:cs="微软雅黑"/>
          <w:b/>
          <w:bCs/>
          <w:sz w:val="32"/>
          <w:szCs w:val="32"/>
          <w:u w:val="none"/>
          <w:shd w:val="clear" w:color="auto" w:fill="auto"/>
          <w:lang w:val="en-US" w:eastAsia="zh-CN"/>
        </w:rPr>
        <w:t xml:space="preserve"> 中医妇科学（中级）331-专业知识&amp;实践能力 </w:t>
      </w:r>
      <w:r>
        <w:rPr>
          <w:rFonts w:hint="eastAsia" w:ascii="微软雅黑" w:hAnsi="微软雅黑" w:eastAsia="微软雅黑" w:cs="微软雅黑"/>
          <w:b w:val="0"/>
          <w:bCs w:val="0"/>
          <w:color w:val="808080" w:themeColor="text1" w:themeTint="80"/>
          <w:sz w:val="32"/>
          <w:szCs w:val="32"/>
          <w:u w:val="none"/>
          <w:shd w:val="clear" w:color="auto" w:fill="auto"/>
          <w:lang w:val="en-US"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&lt;&lt;</w:t>
      </w:r>
    </w:p>
    <w:p>
      <w:pPr>
        <w:bidi w:val="0"/>
        <w:rPr>
          <w:rFonts w:hint="default" w:ascii="Times New Roman" w:hAnsi="Times New Roman" w:eastAsia="Times New Roman" w:cs="Times New Roman"/>
          <w:sz w:val="24"/>
          <w:szCs w:val="24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jc w:val="center"/>
        <w:rPr>
          <w:rFonts w:hint="eastAsia" w:ascii="微软雅黑" w:hAnsi="微软雅黑" w:eastAsia="微软雅黑" w:cs="微软雅黑"/>
          <w:b/>
          <w:bCs/>
        </w:rPr>
      </w:pPr>
      <w:r>
        <w:rPr>
          <w:rFonts w:hint="eastAsia" w:ascii="微软雅黑" w:hAnsi="微软雅黑" w:eastAsia="微软雅黑" w:cs="微软雅黑"/>
          <w:b/>
          <w:bCs/>
        </w:rPr>
        <w:t>主治医师中医妇科学331-专业知识&amp;实践能力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br w:type="page"/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【单】我国现存最早医书对女子生理，病理有效系统的论述，要算()。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A《妇人婴儿方》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B《内经》</w:t>
      </w:r>
      <w:bookmarkStart w:id="0" w:name="_GoBack"/>
      <w:bookmarkEnd w:id="0"/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C《金匮要略》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D《妇人良方大全》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E《诸病源候论》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我国现存的第一部医学巨著《内经》，确定了中医学的理论基础，同时提出了妇女的解剖、月经生理、妊娠诊断等基本理论，还初步论述了一些妇女疾病的病理，如血崩、月事不来、带下、不孕、肠覃、石瘕等。《内经》还记载了第一个治疗血枯经闭、调经种子药方四乌贼骨一藘茹丸。《内经》的理论为中医妇产科学的发展奠定了基础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【单】妇科的第一首方剂应是()。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A温经汤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B胶艾汤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C四乌贼骨一藘茹丸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D桂枝茯苓丸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E当归芍药散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解析：四乌贼骨一藘茹丸出自《内经·腹中论》，是妇科现存的第一首方剂。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【单】中医妇科学研究的范围，概括起来，不外()。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A调经、种子、崩漏、带下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B嗣育、胎前、产后、乳疾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C胎前、临产、产后、杂病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D月经病、带下病、妊娠病、产后病、妇科杂病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E调经、崩漏、带下、癥瘕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妇人有经、带、胎、产、孕等自然生理过程，在这些过程中也有很多疾病发生，中医妇科学研究的范围，概括起来不外乎月经病、带下病、妊娠病、产后病、妇科杂病等，其中中医妇科在调经、种子、安胎等方面很有优势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【单】《妇人大全良方》为()。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A明·王肯堂所著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B宋·陈自明所著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C元·朱丹溪所著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D明·薛立斋所著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E清·武叔卿所著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解析：我国现存的第一部妇产科专著是宋代陈自明所著的《妇人大全良方》。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【单】“男女两科同一治，所异调经崩带癥症，嗣育胎前并产后，前阴乳疾不相同。”出自下列那一部著作()。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A《千金要方·妇人方》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B《胎产书》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C《医宗金鉴·妇科心法要诀》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D《妇人大金良方》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E《景岳全书·妇人规》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解析：《医宗金鉴·妇科心法要诀》说：“男妇两科同一治，所异调经崩带症，嗣育胎前并产后，前阴乳疾不相同。”这是对中医妇科疾病范围的高度概括和总结。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6、A1型题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【单】以下哪项病证与寒邪无关？()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A月经后期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B月经先后无定期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C月经过少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D痛经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E妊娠腹痛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寒邪伤人的具体病因归纳如下：若感受寒邪，冒雨涉水，或过食生冷，则血为寒凝，血行不畅，胞脉阻滞，可出现月经后期、痛经、症瘕等。若机体阳气不足，寒自内生，脏腑功能失常，影响冲任、胞宫功能，可出现痛经、带下病、妊娠腹痛、宫寒不孕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7、A1型题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【单】脏腑功能失常是发生妇科疾病的重要机理，而主要涉及的脏腑是()。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A肝脾胃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B肾脾心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C肝脾肾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D心肝脾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E心肺脾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肾藏精，主生殖，胞络系于肾。若肾气不足，则冲任不固，系胞无力。肝藏血，主疏泄，性喜条达。若情志不畅，肝气郁结，则血为气滞，冲任失畅。脾主运化，司中气，与胃同为气血生化之源。若脾气不足，则冲任不固，血失统摄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8、A1型题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【单】下列病症中，哪项与肝郁化热有关？()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A月经过少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B经间期出血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C月经过多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D缺乳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E痛经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解析：肝郁化火，热伤冲任，迫血妄行，可引起月经过多。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9、A1型题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【单】下列哪项除外，余皆是热伤冲任所致？()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A月经先期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B月经过多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C月经过少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D崩漏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E经行吐衄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解析：无论实热、虚热都可损伤冲任经脉，迫血妄行，出现月经先期、月经过多、崩漏、经行吐衄、胎漏、胎动不安、恶露不绝、产后发热等。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10、A1型题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【单】导致妇科疾病的主要原因是()。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A外感与饮食劳倦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B外感与情志内伤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C多产房劳与情志内伤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D情志内伤与跌扑外伤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E外感与房室所伤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解析：导致妇女疾病的因素有外感淫邪因素、情志因素、生活因素和体质因素。外感淫邪因素、情志因素为主要原因。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11、A1型题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【单】下列病症中，哪项与肾气虚有关？()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A月经先后不定期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B闭经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C癥瘕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D经行吐衄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E妊娠腹痛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解析：冲任不固，血海失司，蓄溢失常，可致月经先后无定期。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12、A1型题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【单】淫邪中最易导致妇产科疾病的是()。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A寒、热、湿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B风、寒、湿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C风、湿、热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D寒、暑、湿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E暑、湿、热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解析：因妇女以血为本，寒、热、湿邪更易与血相搏而导致妇产科诸证，导致湿热、血寒、血热、血瘀等证。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13、A1型题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【单】血瘀所致妇科病症，常用活血化瘀法，此法常与哪法相佐使用？()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A补血法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B行气法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C疏肝法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D温阳法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E消癥法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解析：血瘀病在血分，以活血为主，治行气为佐。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14、A1型题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【单】脾气虚弱，中气下陷，冲任不固导致胎、产、崩、伤诸病，常用代表方是()。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A香砂六君子汤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B归脾汤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C补中益气汤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D八珍汤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E十全大补汤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解析：若脾胃虚弱，中气不足，冲任不固，血失统摄，导致胎产崩伤诸病。治疗宜健脾益气为主，常用的代表方剂如举元煎、补中益气汤之类。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15、A1型题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【单】脾阳不振，痰湿壅阻胞脉所致经孕之病，选用代表方为()。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A全生白术散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B二陈汤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C健固汤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D礞石滚痰丸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E苍附导痰丸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解析：脾阳不振，水湿停聚，化为痰浊，壅塞胞脉，导致月经后期、闭经、不孕等妇科疾病。治疗宜健脾豁痰除湿，常用的代表方剂如丹溪治湿痰方、苍附导痰丸之类。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16、A1型题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【单】“见肝之病，当先实脾”，故疏肝方中，佐以健脾之品，代表方为()。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A柴胡疏肝散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B逍遥散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C四逆散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D开郁种玉汤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E龙胆泻肝汤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解析：逍遥散疏肝健脾养血，含“见肝之病，当先实脾”之意。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17、A1型题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【单】“善补阳者，必于阴中求阳，则阳得阴助而生化无穷；善补阴者，必于阳中求阴，则阴得阳升而泉源不竭”，此言出于()。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A《金匮要略》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B《妇人良方大全》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C《景岳全书》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D《傅青主女科》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E《济阴纲目》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解析：“善补阳者，必于阴中求阳，则阳得阴助而生化无穷；善补阴者，必于阳中求阴，则阴得阳升而泉源不竭”出于张介宾的《景岳全书》。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18、A1型题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【单】有利于预防妊娠恶阻的措施是()。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A多吃肥腻甘甜的食物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B保持心情愉快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C饭后便睡卧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D尽量每餐多进食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E不去户外运动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解析：妊娠恶阻主要是由冲脉之气上逆，胃失和降所致。饮食过于肥甘厚腻、过饱过饥、饭后便睡卧等均会损伤脾胃，不利于预防妊娠恶阻。此外，为预防妊娠恶阻，还应该保持心情愉快、进行适当户外运动。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19、A1型题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【单】患者证见月经四、五十日一行，量少色淡，质清稀，头晕眼花，心悸少寐，面色苍白，舌淡苔薄，脉虚细。应首选()。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A八珍汤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B归脾汤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C参芪四物汤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D人参养营汤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E人参滋血汤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解析：本病属于血虚型月经后期，治疗法则：补血养营，益气调经。方药举例：人参养荣汤。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20、A1型题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【单】年逾18岁，月经尚未来潮，或月经后期，量少，渐至经闭，体质虚弱，腰酸腿软，头晕耳鸣，多属()。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A脾肾阳虚型闭经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B肾阴不足型闭经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C气血虚弱型闭经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D肺肾阴虚型闭经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E肝郁脾虚型闭经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解析：本病肾阴虚证主要证候：月经初潮来迟，或月经后期量少，渐至闭经，头晕耳鸣，腰膝酸软，或足跟痛，手足心热，甚则潮热盗汗，心烦少寐，颧红唇赤，舌红，苔少或无苔，脉细数。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21、A1型题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【单】血热崩漏证，兼见胸胁胀痛，心烦易怒、脉弦者，治宜()。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A清热凉血止血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B活血化瘀止血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C清肝泻热止血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D滋阴固肾止血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E以上都不对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崩漏血热型主要证候：经血非时而下，量多如崩，或淋漓不断，血色深红，质稠，心烦少寐，渴喜冷饮，头晕面赤，舌红，苔黄，脉滑数。治疗法则：清热凉血，固冲止血。兼见胸胁胀痛，心烦易怒、脉弦者，应清肝泻热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22、A1型题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【单】经来淋漓八九日至十余日始净，量少，色黯有块，小腹疼痛拒按，舌质紫黯，脉涩。治宜()。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A活血祛瘀止血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B活血祛瘀调经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C养阴清热止血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D疏肝理气止血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E以上都不对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解析：本病为血瘀型经期延长，治疗应活血祛瘀止血。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23、A1型题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【单】月经先期属阴虚血热者，首选方为()。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A先期汤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B清经散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C保阴煎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D知柏地黄汤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E两地汤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解析：本病阴虚血热证主要证候：经期提前，量少，色红质稠，颧赤唇红，手足心热，咽干口燥，舌红，苔少，脉细数。治疗法则：养阴清热，凉血调经。方药举例：两地汤。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24、A1型题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【单】脾虚经行泄泻的特点是()。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A大便稀薄，脘腹胀痛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B大便溏薄，每至天亮前而泻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C大便清稀如水，脘腹胀满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D大便溏薄，腹痛而泻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E大便清稀，每至天亮前而泻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解析：脾气虚型经行泄泻主要证候：经前或经期大便泄泻，脘腹胀满，神疲肢倦，经行量多，色淡质稀，平时带下量多，色白质粘，无臭气，或面浮肢肿，舌淡胖，苔白腻，脉濡缓。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25、A1型题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【单】月经后期的治疗原则是()。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A益气养血、活血调经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B扶阳祛寒、养血调经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C温经散寒、活血调经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D理气行滞，活血调经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E温经养血、活血行滞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解析：本病治疗须辨明虚实，虚证治以温经养血，实证治以活血行滞。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26、A1型题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【单】气滞血瘀型痛经的治疗法则是()。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A疏肝理气，缓急止痛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B养血活血，逐瘀止痛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C理气活血，化瘀止痛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D行气解郁，活血止痛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E理气活血，调经止血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气滞血瘀型痛经主要证候：经前或经期小腹胀痛拒按，胸胁、乳房胀痛，经行不畅，经色紫黯有块，块下痛减，舌紫黯，或有瘀点，脉弦或弦涩有力。治疗法则：行气活血，祛瘀止痛。方药举例：血府逐瘀汤。本病气滞血瘀型主要证候：月经停闭数月，小腹胀痛拒按；精神抑郁，烦躁易怒，胸胁胀满，嗳气叹息，舌紫黯或有瘀点，脉沉弦或涩而有力。治疗法则：行气活血，祛瘀通络。方药举例：血府逐瘀汤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27、A1型题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【单】经前或经期小腹胀痛拒按，胸胁乳房胀痛，月经量少，色黯红有血块，其治疗选方为()。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A桃红四物汤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B小腹逐瘀汤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C柴胡疏肝散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D调肝汤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E膈下逐瘀汤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解析：本病为气滞血瘀型痛经，治疗法则：行气活血，祛瘀止痛。方药举例：膈下逐瘀汤。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28、A1型题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【单】经行眩晕，由于虚者主要为()。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A气虚阳虚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B气虚阴虚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C气虚血虚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D血虚阴虚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E脾虚血虚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解析：经行眩晕，虚者主要为血虚阴虚，清窍失养。实者主要为痰湿内阻，清阳不升。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29、A1型题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【单】月经过少，其治重在()。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A活血化瘀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B温经散寒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C养血理气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D濡养精血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E以上都不对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解析：本病治疗须分辨虚实，虚证者重在补肾益精，或补血益气以滋经血之源；实证者重在温经行滞，或祛瘀行血以通调冲任。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30、A1型题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【单】闭经最早见载于()。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A《黄帝内经》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B《金匮要略》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C《诸病源候论》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D《妇人大全良方》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E以上都不是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解析：《黄帝内经·素问·阴阳别论》关于本病的记载为“二阳之病发心脾，有不得隐曲。女子不月”。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31、A1型题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【单】血虚型月经后期的发病机理是()。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A阳虚血寒，气机不利，血海不能按时满溢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B血为寒凝，冲任受阻，经血不能按时而下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C气滞血瘀，血行不畅，冲任受阻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D冲任血虚，血海不能按时满溢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E痰湿阻滞，冲任不通，经血不能按时而下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解析：血虚型月经后期病机：数伤于血，或产多乳众，病后体虚，饮食减少，化源不足，营血衰少，冲任不足，血海不能按时满溢，遂致经行错后。选D。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32、A1型题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【单】经行泄泻主要责之于()。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A肝脾虚弱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B脾胃虚弱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C脾肾虚弱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D肝胃虚弱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E肝肾虚弱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解析：本病主要发病机理是脾肾阳气不足，运化失司，值经期血气下注冲任，脾肾愈虚而发生泄泻。常见分型有脾气虚和肾阳虚。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33、A1型题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【单】阴道突然大量出血，而后淋漓日久不净，色深红，质稠，心烦口渴，面赤便结，可诊断为()。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A月经过多血热型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B经期延长气虚型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C崩漏气虚型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D崩漏血热型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E崩漏血瘀型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解析：色深红，质稠，心烦口渴，面赤，便结提示本病为崩漏血热型。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34、A1型题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【单】肝郁月经先后无定期的主要证候，下列哪一项是错误的()。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A周期紊乱，或先或后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B经量或多或少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C经行不畅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D胸胁、乳房胀痛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E小腹疼痛拒按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解析：肝郁型月经先后无定期主要证候：经行或先或后，经量或多或少，色黯红，有血块，或经行不畅，胸胁、乳房、少腹胀痛，精神郁闷，时欲太息，嗳气食少，舌质正常，苔薄，脉弦。无E选项。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35、A1型题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【单】经行前后，头晕如裹，沉重而胀，脘闷泛恶，纳呆多寐，苔白腻，脉濡滑，其最佳选方是()。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A二陈汤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B苍附导痰汤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C温胆汤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D半夏白术天麻汤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E归脾汤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解析：本病为经行眩晕痰湿内阻证，治疗应用半夏白术天麻汤燥湿化痰，胜湿定眩。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36、A1型题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【单】治疗瘀血阻滞型身痛的主方是()。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A当归补血汤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B血府逐瘀汤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C身痛逐瘀汤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D趁痛散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E通窍活血汤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解析：瘀血阻滞型身痛应用身痛逐瘀汤化瘀止痛。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37、A1型题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【单】调肝汤用于()。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A心肝血虚型痛经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B血虚气滞型痛经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C肾气亏损型痛经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D气滞血瘀型痛经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E湿热蕴结型痛经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本病肾气亏损型主要证候：经期或经后小腹隐隐作痛，喜按，月经量少，色淡质稀，头晕耳鸣，腰酸腿软，小便清长，面色晦黯，舌淡，苔薄，脉沉细。治疗法则：补肾填精，养血止痛。方药举例：调肝汤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38、A1型题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【单】下述哪些证候宜用止带方？()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A带下稠黏色黄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B带下清冷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C带下量多，稀薄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D带下色白，无臭气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E带下量多，色黄，有臭气，伴外阴瘙痒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湿热下注型带下主要证候：带下量多，色黄，粘稠，有臭气，或伴阴部瘙痒，胸闷心烦，口苦咽干，纳食较差，小腹或少腹作痛，小便短赤，舌红，苔黄腻，脉濡数。治疗法则：清热利湿止带。方药举例：止带方。选E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39、A1型题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【单】下列哪一项是带下病的主要病机？()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A肾虚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B湿热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C肝郁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D脾虚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E寒湿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解析：带下病以湿邪为患，故其病缠绵，反复发作，不易速愈，脾为生湿之源，脾虚为本病主要病机，选D。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40、A1型题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【单】带下病是指()。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A带下量增多，腰酸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B怀孕早期，白带增多或夹血丝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C月经期前后白带增多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D带下的量、色、质、气味的变化及伴随症状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E带下色黄，外阴肿痛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带下的量明显增多，色、质、气味发生异常，或伴全身、局部症状者，称为“带下病”，又称“下白物”、“流秽物”。相当于西医学的阴道炎、子宫颈炎、盆腔炎、妇科肿瘤等疾病引起的带下增多。选D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41、A1型题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【单】带下量多，色白或淡黄，质黏稠，无臭气，多由以下哪项所致？()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A湿热下注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B脾虚湿浊下注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C感染湿毒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D肾阳虚衰，下元亏损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E阴虚火旺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解析：脾阳虚型带下主要证候：带下量多，色白或淡黄，质稀薄，无臭气，绵绵不断，神疲倦怠，四肢不温，纳少便溏，两足跗肿，面色觥白，舌质淡，苔白腻，脉缓弱。选B。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42、A1型题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【单】知柏地黄丸用于下列何种带下？()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A脾虚带下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B肾虚带下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C阴虚夹湿带下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D湿毒带下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E湿热带下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阴虚挟湿型带下主要证候：带下量不甚多，色黄或赤白相兼，质稠或有臭气，阴部干涩不适，或有灼热感，腰膝酸软，头晕耳鸣，颧赤唇红，五心烦热，失眠多梦，舌红，苔少或黄腻，脉细数。治疗法则：滋阴益肾，清热祛湿。方药举例：知柏地黄丸。选C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43、A1型题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【单】带下病的证型不包括()。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A脾虚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B肾虚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C湿热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D肝郁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E湿毒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带下病辨证主要根据带下量、色、质、气味，其次根据伴随症状及舌脉辨其寒热虚实如带下量多色白或淡黄，质清稀，多属脾阳虚；色白质清稀如水，有冷感者属肾阳虚；量不甚多，色黄或赤白相兼，质稠或有臭气为阴虚挟湿；带下量多色黄，质粘稠，有臭气，或如泡沫状，或色自如豆渣状，为湿热下注；带下量多，色黄绿如脓，或浑浊如米泔，质稠，恶臭难闻，属湿毒重证。选D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44、A1型题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【单】湿热带下的治法应是()。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A健脾益气，升阳除湿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B清热利湿止带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C温肾助阳，涩精止带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D清热解毒，除湿止带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E滋阴益肾，除湿止带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解析：湿热下注型带下主要证候：带下量多，色黄，粘稠，有臭气，或伴阴部瘙痒，胸闷心烦，口苦咽干，纳食较差，小腹或少腹作痛，小便短赤，舌红，苔黄腻，脉濡数。治疗法则：清热利湿止带。选B。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45、A1型题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【单】异位妊娠治疗大法为()。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A消癥散结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B祛瘀杀胚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C活血化瘀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D以上都是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E以上都不是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解析：宫外孕辨证主要是少腹血瘀之实证，治疗始终以活血化瘀为主。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46、A1型题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【单】妊娠足月逾期几周以上尚未临产者，称为“过期不产”()。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A1周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B2周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C3周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D4周</w:t>
      </w:r>
    </w:p>
    <w:p>
      <w:pPr>
        <w:rPr>
          <w:rFonts w:hint="eastAsia"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解析：妊娠足月逾期2周以上尚未临产者，称为“过期不产”.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47、A1型题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【单】妊娠早期，恶心呕吐，吐出食物，甚则食入即吐，头晕体倦，怠惰思睡，舌淡，脉缓滑无力，应选用()。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A香砂六君子汤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B小半夏加茯苓汤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C青竹茹汤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D苏叶黄连汤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E以上都不是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解析：本病为胃虚型妊娠恶阻,治疗法则：健胃和中，降逆止呕。方药举例：香砂六君子汤。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48、A1型题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【单】下列除哪项外均为血虚型妊娠腹痛的主证？()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A小腹绵绵作痛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B烦躁易怒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C头晕心悸，失眠多梦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D脉细滑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E以上都不是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解析：本病血虚型主要证候：妊娠小腹绵绵作痛，头晕心悸，失眠多梦，面色萎黄，舌淡，苔薄白，脉细滑。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49、A1型题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【单】妊娠肿胀主证为()。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A妊娠早期，肢体面目肿胀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B妊娠早期及中期，肢体面目肿胀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C妊娠晚期，肢体面目肿胀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D妊娠中、晚期，肢体面目肿胀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E以上都不是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解析：妊娠后肢体面目发生肿胀，成为妊娠肿胀。一般在七、八月以后。属于妊娠中晚期。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50、A1型题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【单】某女，28岁。妊娠50＋天，小腹绵绵作痛，按之痛减，面色少华，头晕心悸，舌淡，苔薄白，脉细滑。诊断为何种证型妊娠腹痛？()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A虚寒型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B血虚型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C气虚型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D气郁型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E血热型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解析：面色少华，头晕心悸，舌淡提示本病为血虚型妊娠腹痛。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2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zSVju0AAAAAUBAAAPAAAAAAAAAAEAIAAA&#10;ACIAAABkcnMvZG93bnJldi54bWxQSwECFAAUAAAACACHTuJAwN7nihQCAAATBAAADgAAAAAAAAAB&#10;ACAAAAAfAQAAZHJzL2Uyb0RvYy54bWxQSwUGAAAAAAYABgBZAQAAp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2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</w:pPr>
    <w:r>
      <w:rPr>
        <w:rFonts w:hint="eastAsia" w:eastAsia="宋体"/>
        <w:lang w:val="en-US" w:eastAsia="zh-CN"/>
      </w:rPr>
      <w:t>金英杰医学教育                                                  2021年卫生职称（初中级）考试</w:t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2832100" cy="2565400"/>
          <wp:effectExtent l="0" t="0" r="6350" b="6350"/>
          <wp:wrapNone/>
          <wp:docPr id="1" name="WordPictureWatermark94211" descr="金英杰logo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94211" descr="金英杰logo3"/>
                  <pic:cNvPicPr>
                    <a:picLocks noChangeAspect="1"/>
                  </pic:cNvPicPr>
                </pic:nvPicPr>
                <pic:blipFill>
                  <a:blip r:embed="rId1">
                    <a:lum bright="69998" contrast="-70001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32100" cy="2565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F12A04"/>
    <w:rsid w:val="114B684D"/>
    <w:rsid w:val="4B8F391D"/>
    <w:rsid w:val="67754756"/>
    <w:rsid w:val="711B4FD4"/>
    <w:rsid w:val="7B0C6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2020-09-07T08:08:00Z</dcterms:created>
  <dc:creator>18810</dc:creator>
  <cp:lastModifiedBy>Administrator</cp:lastModifiedBy>
  <dcterms:modified xsi:type="dcterms:W3CDTF">2021-03-09T10:09:07Z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